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4C" w:rsidRP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color w:val="000099"/>
          <w:sz w:val="28"/>
          <w:szCs w:val="28"/>
          <w:u w:val="single"/>
        </w:rPr>
      </w:pPr>
      <w:r w:rsidRPr="0035024C">
        <w:rPr>
          <w:rStyle w:val="lev"/>
          <w:rFonts w:asciiTheme="majorBidi" w:hAnsiTheme="majorBidi" w:cstheme="majorBidi"/>
          <w:color w:val="000099"/>
          <w:sz w:val="28"/>
          <w:szCs w:val="28"/>
          <w:u w:val="single"/>
        </w:rPr>
        <w:t>ANNEXE N° 01</w:t>
      </w:r>
    </w:p>
    <w:p w:rsidR="0035024C" w:rsidRPr="0035024C" w:rsidRDefault="0035024C" w:rsidP="0035024C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Theme="majorBidi" w:hAnsiTheme="majorBidi" w:cstheme="majorBidi"/>
          <w:color w:val="000099"/>
          <w:sz w:val="28"/>
          <w:szCs w:val="28"/>
        </w:rPr>
      </w:pPr>
      <w:r w:rsidRPr="0035024C">
        <w:rPr>
          <w:rStyle w:val="lev"/>
          <w:rFonts w:asciiTheme="majorBidi" w:hAnsiTheme="majorBidi" w:cstheme="majorBidi"/>
          <w:color w:val="000099"/>
          <w:sz w:val="28"/>
          <w:szCs w:val="28"/>
          <w:u w:val="single"/>
        </w:rPr>
        <w:t>FICHE  TECHNIQUE SUR L'ENTRETIEN ET LE NETTOYAGE  </w:t>
      </w:r>
    </w:p>
    <w:p w:rsidR="0035024C" w:rsidRPr="0035024C" w:rsidRDefault="0035024C" w:rsidP="0035024C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Theme="majorBidi" w:hAnsiTheme="majorBidi" w:cstheme="majorBidi"/>
          <w:color w:val="000099"/>
          <w:sz w:val="28"/>
          <w:szCs w:val="28"/>
        </w:rPr>
      </w:pPr>
      <w:r w:rsidRPr="0035024C">
        <w:rPr>
          <w:rStyle w:val="lev"/>
          <w:rFonts w:asciiTheme="majorBidi" w:hAnsiTheme="majorBidi" w:cstheme="majorBidi"/>
          <w:color w:val="000099"/>
          <w:sz w:val="28"/>
          <w:szCs w:val="28"/>
          <w:u w:val="single"/>
        </w:rPr>
        <w:t>DU SIEGE DU MINISTERE DU COMMERCE :</w:t>
      </w:r>
    </w:p>
    <w:p w:rsidR="0035024C" w:rsidRDefault="0035024C" w:rsidP="0035024C">
      <w:pPr>
        <w:jc w:val="center"/>
        <w:rPr>
          <w:sz w:val="36"/>
          <w:szCs w:val="36"/>
          <w:u w:val="single"/>
        </w:rPr>
      </w:pPr>
    </w:p>
    <w:tbl>
      <w:tblPr>
        <w:tblStyle w:val="Grilledutableau"/>
        <w:tblW w:w="9747" w:type="dxa"/>
        <w:tblLook w:val="04A0"/>
      </w:tblPr>
      <w:tblGrid>
        <w:gridCol w:w="9747"/>
      </w:tblGrid>
      <w:tr w:rsidR="0035024C" w:rsidRPr="004D7F7F" w:rsidTr="00432F8A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4D7F7F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D7F7F">
              <w:rPr>
                <w:rFonts w:asciiTheme="majorBidi" w:hAnsiTheme="majorBidi" w:cstheme="majorBidi"/>
                <w:sz w:val="26"/>
                <w:szCs w:val="26"/>
              </w:rPr>
              <w:t>Description</w:t>
            </w:r>
          </w:p>
        </w:tc>
      </w:tr>
      <w:tr w:rsidR="0035024C" w:rsidRPr="004D7F7F" w:rsidTr="00432F8A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FC209B" w:rsidRDefault="0035024C" w:rsidP="00432F8A">
            <w:pPr>
              <w:ind w:left="36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pour ventilo-convecteur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du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 xml:space="preserve">circuit hydraulique chauffage 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du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circuit hydraulique de refroidissement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pour 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Deux chaudières.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préventive et curative du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 xml:space="preserve"> central traitement d’air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pour 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Deux groupe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s</w:t>
            </w:r>
            <w:r w:rsidR="00EE5FF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frigorifiques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d’eaux glacée circuit hydraulique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FC209B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du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>Gestion technique centralisée</w:t>
            </w:r>
          </w:p>
          <w:p w:rsidR="0035024C" w:rsidRDefault="0035024C" w:rsidP="00C80C4F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pour </w:t>
            </w:r>
            <w:r w:rsidRPr="00FC209B">
              <w:rPr>
                <w:rFonts w:asciiTheme="majorBidi" w:hAnsiTheme="majorBidi" w:cstheme="majorBidi"/>
                <w:sz w:val="26"/>
                <w:szCs w:val="26"/>
              </w:rPr>
              <w:t xml:space="preserve">Climatiseurs  split-système, armoire de refroidissement et armoires de précision. </w:t>
            </w:r>
          </w:p>
          <w:p w:rsidR="0035024C" w:rsidRPr="00340FA7" w:rsidRDefault="0035024C" w:rsidP="00C80C4F">
            <w:pPr>
              <w:pStyle w:val="Paragraphedeliste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340FA7" w:rsidRDefault="0035024C" w:rsidP="00C80C4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40FA7">
              <w:rPr>
                <w:rFonts w:asciiTheme="majorBidi" w:hAnsiTheme="majorBidi" w:cstheme="majorBidi"/>
                <w:sz w:val="26"/>
                <w:szCs w:val="26"/>
              </w:rPr>
              <w:t xml:space="preserve">Maintenance préventive et curative du circuit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hydraulique de </w:t>
            </w:r>
            <w:r w:rsidRPr="00340FA7">
              <w:rPr>
                <w:rFonts w:asciiTheme="majorBidi" w:hAnsiTheme="majorBidi" w:cstheme="majorBidi"/>
                <w:sz w:val="26"/>
                <w:szCs w:val="26"/>
              </w:rPr>
              <w:t xml:space="preserve"> plomberie</w:t>
            </w:r>
          </w:p>
          <w:p w:rsidR="0035024C" w:rsidRPr="004D7F7F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35024C" w:rsidRDefault="0035024C" w:rsidP="0035024C">
      <w:pPr>
        <w:jc w:val="center"/>
        <w:rPr>
          <w:sz w:val="36"/>
          <w:szCs w:val="36"/>
          <w:u w:val="single"/>
        </w:rPr>
      </w:pPr>
    </w:p>
    <w:p w:rsidR="00C80C4F" w:rsidRDefault="00C80C4F" w:rsidP="0035024C">
      <w:pPr>
        <w:jc w:val="center"/>
        <w:rPr>
          <w:sz w:val="36"/>
          <w:szCs w:val="36"/>
          <w:u w:val="single"/>
        </w:rPr>
      </w:pPr>
    </w:p>
    <w:p w:rsidR="00C80C4F" w:rsidRDefault="00C80C4F" w:rsidP="0035024C">
      <w:pPr>
        <w:jc w:val="center"/>
        <w:rPr>
          <w:sz w:val="36"/>
          <w:szCs w:val="36"/>
          <w:u w:val="single"/>
        </w:rPr>
      </w:pPr>
    </w:p>
    <w:p w:rsidR="00C80C4F" w:rsidRDefault="00C80C4F" w:rsidP="0035024C">
      <w:pPr>
        <w:jc w:val="center"/>
        <w:rPr>
          <w:sz w:val="36"/>
          <w:szCs w:val="36"/>
          <w:u w:val="single"/>
        </w:rPr>
      </w:pPr>
    </w:p>
    <w:p w:rsidR="0035024C" w:rsidRPr="0035024C" w:rsidRDefault="0035024C" w:rsidP="0035024C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color w:val="000099"/>
          <w:sz w:val="40"/>
          <w:szCs w:val="40"/>
        </w:rPr>
      </w:pPr>
      <w:r>
        <w:lastRenderedPageBreak/>
        <w:tab/>
      </w:r>
      <w:r w:rsidRPr="0035024C">
        <w:rPr>
          <w:rFonts w:asciiTheme="majorBidi" w:hAnsiTheme="majorBidi" w:cstheme="majorBidi"/>
          <w:b/>
          <w:bCs/>
          <w:color w:val="000099"/>
          <w:sz w:val="40"/>
          <w:szCs w:val="40"/>
        </w:rPr>
        <w:t>Le devis quantitatif et estimatif du lot n° 01</w:t>
      </w:r>
    </w:p>
    <w:p w:rsidR="0035024C" w:rsidRDefault="0035024C" w:rsidP="0035024C">
      <w:pPr>
        <w:tabs>
          <w:tab w:val="left" w:pos="5529"/>
        </w:tabs>
        <w:ind w:left="709"/>
      </w:pPr>
    </w:p>
    <w:tbl>
      <w:tblPr>
        <w:tblStyle w:val="Grilledutableau"/>
        <w:tblW w:w="9747" w:type="dxa"/>
        <w:tblInd w:w="-707" w:type="dxa"/>
        <w:tblLook w:val="04A0"/>
      </w:tblPr>
      <w:tblGrid>
        <w:gridCol w:w="1290"/>
        <w:gridCol w:w="4125"/>
        <w:gridCol w:w="2126"/>
        <w:gridCol w:w="2206"/>
      </w:tblGrid>
      <w:tr w:rsidR="0035024C" w:rsidRPr="004D7F7F" w:rsidTr="0035024C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4D7F7F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D7F7F">
              <w:rPr>
                <w:rFonts w:asciiTheme="majorBidi" w:hAnsiTheme="majorBidi" w:cstheme="majorBidi"/>
                <w:sz w:val="26"/>
                <w:szCs w:val="26"/>
              </w:rPr>
              <w:t>Quantité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4D7F7F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D7F7F">
              <w:rPr>
                <w:rFonts w:asciiTheme="majorBidi" w:hAnsiTheme="majorBidi" w:cstheme="majorBidi"/>
                <w:sz w:val="26"/>
                <w:szCs w:val="26"/>
              </w:rPr>
              <w:t>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4D7F7F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P.U. HT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Pr="004D7F7F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MONTANT HT</w:t>
            </w:r>
          </w:p>
        </w:tc>
      </w:tr>
      <w:tr w:rsidR="0035024C" w:rsidTr="0035024C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26,25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35024C" w:rsidRDefault="0035024C" w:rsidP="00432F8A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5024C" w:rsidRPr="0035024C" w:rsidRDefault="0035024C" w:rsidP="00432F8A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Pr="00EB06E6" w:rsidRDefault="0035024C" w:rsidP="00432F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Pr="00052061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Pr="00733E5D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Pr="002D118B" w:rsidRDefault="0035024C" w:rsidP="00432F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5024C" w:rsidRPr="00414D18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pour ventilo-convecteur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du circuit hydraulique chauffage </w:t>
            </w:r>
          </w:p>
          <w:p w:rsidR="0035024C" w:rsidRPr="0035024C" w:rsidRDefault="0035024C" w:rsidP="00432F8A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du circuit hydraulique de refroidissement</w:t>
            </w:r>
          </w:p>
          <w:p w:rsidR="0035024C" w:rsidRPr="002D118B" w:rsidRDefault="0035024C" w:rsidP="00432F8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de deux chaudière.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du central traitement d’air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de deux groupe d’eaux glacée circuit hydraulique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de la gestion technique centralisée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Maintenance climatiseurs split-system, armoire de refroidissement et armoire de précision </w:t>
            </w:r>
          </w:p>
          <w:p w:rsidR="0035024C" w:rsidRPr="0035024C" w:rsidRDefault="0035024C" w:rsidP="00432F8A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Maintenance du circuit hydraulique de plomberie</w:t>
            </w:r>
          </w:p>
          <w:p w:rsidR="0035024C" w:rsidRPr="004D7F7F" w:rsidRDefault="0035024C" w:rsidP="00432F8A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Default="0035024C" w:rsidP="00432F8A">
            <w:pPr>
              <w:ind w:firstLine="7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414D18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414D18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Pr="00414D18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5024C" w:rsidTr="0035024C"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5024C" w:rsidRPr="00577727" w:rsidRDefault="0035024C" w:rsidP="00432F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5024C" w:rsidRPr="00577727" w:rsidRDefault="0035024C" w:rsidP="00432F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7727">
              <w:rPr>
                <w:rFonts w:asciiTheme="majorBidi" w:hAnsiTheme="majorBidi" w:cstheme="majorBidi"/>
                <w:sz w:val="24"/>
                <w:szCs w:val="24"/>
              </w:rPr>
              <w:t>Total H.T pour 1 mois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5024C" w:rsidTr="0035024C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5024C" w:rsidRPr="00577727" w:rsidRDefault="0035024C" w:rsidP="00432F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7727">
              <w:rPr>
                <w:rFonts w:asciiTheme="majorBidi" w:hAnsiTheme="majorBidi" w:cstheme="majorBidi"/>
                <w:sz w:val="24"/>
                <w:szCs w:val="24"/>
              </w:rPr>
              <w:t>TVA 19%</w:t>
            </w:r>
          </w:p>
        </w:tc>
        <w:tc>
          <w:tcPr>
            <w:tcW w:w="2206" w:type="dxa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5024C" w:rsidTr="0035024C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5024C" w:rsidRPr="00577727" w:rsidRDefault="0035024C" w:rsidP="00432F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7727">
              <w:rPr>
                <w:rFonts w:asciiTheme="majorBidi" w:hAnsiTheme="majorBidi" w:cstheme="majorBidi"/>
                <w:sz w:val="24"/>
                <w:szCs w:val="24"/>
              </w:rPr>
              <w:t>TTC pour 1 mois</w:t>
            </w:r>
          </w:p>
        </w:tc>
        <w:tc>
          <w:tcPr>
            <w:tcW w:w="2206" w:type="dxa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35024C" w:rsidTr="0035024C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024C" w:rsidRPr="00B23125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2312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Pour la période de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  <w:r w:rsidRPr="00B2312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mois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5024C" w:rsidRPr="00B23125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31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TTC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5024C" w:rsidRPr="00B23125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35024C" w:rsidRPr="0035024C" w:rsidRDefault="0035024C" w:rsidP="0035024C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color w:val="000099"/>
          <w:sz w:val="40"/>
          <w:szCs w:val="40"/>
        </w:rPr>
      </w:pPr>
      <w:r w:rsidRPr="0035024C">
        <w:rPr>
          <w:rFonts w:asciiTheme="majorBidi" w:hAnsiTheme="majorBidi" w:cstheme="majorBidi"/>
          <w:b/>
          <w:bCs/>
          <w:color w:val="000099"/>
          <w:sz w:val="40"/>
          <w:szCs w:val="40"/>
        </w:rPr>
        <w:lastRenderedPageBreak/>
        <w:t>Le devis quantitatif et estimatif du lot n° 01</w:t>
      </w:r>
    </w:p>
    <w:p w:rsidR="0035024C" w:rsidRPr="0035024C" w:rsidRDefault="0035024C" w:rsidP="0035024C">
      <w:pPr>
        <w:jc w:val="center"/>
        <w:rPr>
          <w:rFonts w:asciiTheme="majorBidi" w:hAnsiTheme="majorBidi" w:cstheme="majorBidi"/>
          <w:b/>
          <w:bCs/>
          <w:color w:val="000099"/>
          <w:sz w:val="32"/>
          <w:szCs w:val="32"/>
          <w:u w:val="single"/>
        </w:rPr>
      </w:pPr>
      <w:r w:rsidRPr="0035024C">
        <w:rPr>
          <w:rFonts w:asciiTheme="majorBidi" w:hAnsiTheme="majorBidi" w:cstheme="majorBidi"/>
          <w:b/>
          <w:bCs/>
          <w:color w:val="000099"/>
          <w:sz w:val="32"/>
          <w:szCs w:val="32"/>
          <w:u w:val="single"/>
        </w:rPr>
        <w:t>LES PIECES  CONSOMMABLES</w:t>
      </w:r>
    </w:p>
    <w:p w:rsidR="0035024C" w:rsidRPr="0035024C" w:rsidRDefault="0035024C" w:rsidP="0035024C">
      <w:pPr>
        <w:jc w:val="center"/>
        <w:rPr>
          <w:rFonts w:asciiTheme="majorBidi" w:hAnsiTheme="majorBidi" w:cstheme="majorBidi"/>
          <w:b/>
          <w:bCs/>
          <w:color w:val="000099"/>
          <w:sz w:val="36"/>
          <w:szCs w:val="36"/>
          <w:u w:val="single"/>
        </w:rPr>
      </w:pPr>
      <w:r w:rsidRPr="0035024C">
        <w:rPr>
          <w:rFonts w:asciiTheme="majorBidi" w:hAnsiTheme="majorBidi" w:cstheme="majorBidi"/>
          <w:b/>
          <w:bCs/>
          <w:color w:val="000099"/>
          <w:sz w:val="36"/>
          <w:szCs w:val="36"/>
          <w:u w:val="single"/>
        </w:rPr>
        <w:t>ENTRETIENS CURATIFS</w:t>
      </w:r>
    </w:p>
    <w:p w:rsidR="0035024C" w:rsidRPr="00E02DD0" w:rsidRDefault="0035024C" w:rsidP="0035024C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tbl>
      <w:tblPr>
        <w:tblStyle w:val="Grilledutableau"/>
        <w:tblW w:w="10206" w:type="dxa"/>
        <w:tblInd w:w="-459" w:type="dxa"/>
        <w:tblLook w:val="04A0"/>
      </w:tblPr>
      <w:tblGrid>
        <w:gridCol w:w="3880"/>
        <w:gridCol w:w="1710"/>
        <w:gridCol w:w="1881"/>
        <w:gridCol w:w="493"/>
        <w:gridCol w:w="2242"/>
      </w:tblGrid>
      <w:tr w:rsidR="0035024C" w:rsidTr="00432F8A">
        <w:tc>
          <w:tcPr>
            <w:tcW w:w="3880" w:type="dxa"/>
          </w:tcPr>
          <w:p w:rsidR="0035024C" w:rsidRPr="00C4267F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426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PIECES</w:t>
            </w:r>
          </w:p>
        </w:tc>
        <w:tc>
          <w:tcPr>
            <w:tcW w:w="1710" w:type="dxa"/>
          </w:tcPr>
          <w:p w:rsidR="0035024C" w:rsidRPr="00C4267F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QUANTITE</w:t>
            </w:r>
          </w:p>
        </w:tc>
        <w:tc>
          <w:tcPr>
            <w:tcW w:w="2374" w:type="dxa"/>
            <w:gridSpan w:val="2"/>
          </w:tcPr>
          <w:p w:rsidR="0035024C" w:rsidRPr="00C4267F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2242" w:type="dxa"/>
          </w:tcPr>
          <w:p w:rsidR="0035024C" w:rsidRPr="00C4267F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MONTANT</w:t>
            </w:r>
          </w:p>
        </w:tc>
      </w:tr>
      <w:tr w:rsidR="0035024C" w:rsidTr="00432F8A">
        <w:trPr>
          <w:trHeight w:val="8928"/>
        </w:trPr>
        <w:tc>
          <w:tcPr>
            <w:tcW w:w="3880" w:type="dxa"/>
          </w:tcPr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-Horloges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-Bobines Electrovannes 220V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-Corps Electrovanne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-Cartes Electroniques avec Télécommande Filaire et infrarouge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-Vannes de sectionnement Batterie Intérieur Chaud  o 20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Vannes de sectionnement Batterie Froid  o  20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-ISOLATION Thermique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-Manomètres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-Purgeurs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-Vannes  diamètre 40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-Tube diamètre 40mm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-Régulateur automate 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ventilo convecteur avec</w:t>
            </w:r>
          </w:p>
          <w:p w:rsidR="0035024C" w:rsidRDefault="0035024C" w:rsidP="00432F8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Pupitre de commande</w:t>
            </w:r>
          </w:p>
        </w:tc>
        <w:tc>
          <w:tcPr>
            <w:tcW w:w="1710" w:type="dxa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15U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05U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50ML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5U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15U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 ML</w:t>
            </w: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02U</w:t>
            </w:r>
          </w:p>
        </w:tc>
        <w:tc>
          <w:tcPr>
            <w:tcW w:w="2374" w:type="dxa"/>
            <w:gridSpan w:val="2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42" w:type="dxa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Tr="00432F8A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5590" w:type="dxa"/>
          <w:trHeight w:val="451"/>
        </w:trPr>
        <w:tc>
          <w:tcPr>
            <w:tcW w:w="1881" w:type="dxa"/>
          </w:tcPr>
          <w:p w:rsidR="0035024C" w:rsidRDefault="0035024C" w:rsidP="00432F8A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Montant H.T</w:t>
            </w:r>
          </w:p>
        </w:tc>
        <w:tc>
          <w:tcPr>
            <w:tcW w:w="2735" w:type="dxa"/>
            <w:gridSpan w:val="2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Tr="00432F8A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5590" w:type="dxa"/>
          <w:trHeight w:val="540"/>
        </w:trPr>
        <w:tc>
          <w:tcPr>
            <w:tcW w:w="1881" w:type="dxa"/>
          </w:tcPr>
          <w:p w:rsidR="0035024C" w:rsidRDefault="0035024C" w:rsidP="00432F8A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T.V.A 19%</w:t>
            </w:r>
          </w:p>
        </w:tc>
        <w:tc>
          <w:tcPr>
            <w:tcW w:w="2735" w:type="dxa"/>
            <w:gridSpan w:val="2"/>
          </w:tcPr>
          <w:p w:rsidR="0035024C" w:rsidRDefault="0035024C" w:rsidP="00432F8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Tr="00432F8A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5590" w:type="dxa"/>
          <w:trHeight w:val="950"/>
        </w:trPr>
        <w:tc>
          <w:tcPr>
            <w:tcW w:w="1881" w:type="dxa"/>
          </w:tcPr>
          <w:p w:rsidR="0035024C" w:rsidRPr="006B5F3B" w:rsidRDefault="0035024C" w:rsidP="00432F8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02F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Montant T.T.C</w:t>
            </w:r>
          </w:p>
        </w:tc>
        <w:tc>
          <w:tcPr>
            <w:tcW w:w="2735" w:type="dxa"/>
            <w:gridSpan w:val="2"/>
          </w:tcPr>
          <w:p w:rsidR="0035024C" w:rsidRPr="00D402F4" w:rsidRDefault="0035024C" w:rsidP="00432F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  <w:rtl/>
        </w:rPr>
      </w:pPr>
      <w:bookmarkStart w:id="0" w:name="_GoBack"/>
      <w:bookmarkEnd w:id="0"/>
    </w:p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</w:rPr>
      </w:pPr>
    </w:p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</w:rPr>
      </w:pPr>
    </w:p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</w:rPr>
      </w:pPr>
    </w:p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  <w:rtl/>
        </w:rPr>
      </w:pPr>
    </w:p>
    <w:p w:rsid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sz w:val="28"/>
          <w:szCs w:val="28"/>
          <w:u w:val="single"/>
          <w:rtl/>
        </w:rPr>
      </w:pPr>
    </w:p>
    <w:p w:rsidR="0035024C" w:rsidRPr="0035024C" w:rsidRDefault="0035024C" w:rsidP="0035024C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b/>
          <w:bCs/>
          <w:color w:val="000099"/>
          <w:sz w:val="28"/>
          <w:szCs w:val="28"/>
          <w:u w:val="single"/>
        </w:rPr>
      </w:pPr>
      <w:r w:rsidRPr="0035024C">
        <w:rPr>
          <w:rStyle w:val="lev"/>
          <w:rFonts w:asciiTheme="majorBidi" w:hAnsiTheme="majorBidi" w:cstheme="majorBidi"/>
          <w:color w:val="000099"/>
          <w:sz w:val="28"/>
          <w:szCs w:val="28"/>
          <w:u w:val="single"/>
        </w:rPr>
        <w:lastRenderedPageBreak/>
        <w:t>ANNEXE N° 02</w:t>
      </w:r>
    </w:p>
    <w:p w:rsidR="0035024C" w:rsidRPr="0035024C" w:rsidRDefault="0035024C" w:rsidP="0035024C">
      <w:pPr>
        <w:jc w:val="center"/>
        <w:rPr>
          <w:rFonts w:asciiTheme="majorBidi" w:hAnsiTheme="majorBidi" w:cstheme="majorBidi"/>
          <w:b/>
          <w:bCs/>
          <w:color w:val="000099"/>
          <w:sz w:val="32"/>
          <w:szCs w:val="32"/>
          <w:u w:val="single"/>
        </w:rPr>
      </w:pPr>
      <w:r w:rsidRPr="0035024C">
        <w:rPr>
          <w:rFonts w:asciiTheme="majorBidi" w:hAnsiTheme="majorBidi" w:cstheme="majorBidi"/>
          <w:b/>
          <w:bCs/>
          <w:color w:val="000099"/>
          <w:sz w:val="32"/>
          <w:szCs w:val="32"/>
          <w:u w:val="single"/>
        </w:rPr>
        <w:t>FICHE TECHNIQUE DE LA MAINTENANCE DU SYSTEME DE TELEPHONIE DU SIEGE DU MINISTERE DU COMMERCE</w:t>
      </w:r>
    </w:p>
    <w:p w:rsidR="0035024C" w:rsidRDefault="0035024C" w:rsidP="0035024C">
      <w:pPr>
        <w:pStyle w:val="Paragraphedeliste"/>
        <w:jc w:val="both"/>
        <w:rPr>
          <w:rFonts w:ascii="Comic Sans MS" w:hAnsi="Comic Sans MS"/>
          <w:sz w:val="28"/>
          <w:szCs w:val="28"/>
        </w:rPr>
      </w:pP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>Réparation et entretien de :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374E">
        <w:rPr>
          <w:sz w:val="28"/>
          <w:szCs w:val="28"/>
        </w:rPr>
        <w:t>-</w:t>
      </w:r>
      <w:r>
        <w:rPr>
          <w:sz w:val="28"/>
          <w:szCs w:val="28"/>
        </w:rPr>
        <w:t xml:space="preserve"> du commutateur téléphonique (standard téléphonique) soft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Entretien et vérifications périodiques des câbles et des répartiteurs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Armoires de brassage téléphonique situé aux 0 à 14 étages  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logiciel du système 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Système d’alimentation en énergie. 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</w:p>
    <w:p w:rsidR="0035024C" w:rsidRDefault="0035024C" w:rsidP="0035024C">
      <w:pPr>
        <w:pStyle w:val="BodyText25"/>
        <w:tabs>
          <w:tab w:val="left" w:pos="9000"/>
        </w:tabs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L’intervention du prestataire se fera suivant un calendrier d’intervention arrête</w:t>
      </w:r>
    </w:p>
    <w:p w:rsidR="0035024C" w:rsidRDefault="0035024C" w:rsidP="0035024C">
      <w:pPr>
        <w:pStyle w:val="BodyText25"/>
        <w:tabs>
          <w:tab w:val="left" w:pos="9000"/>
        </w:tabs>
        <w:ind w:left="284"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 commun accord entre le service contractant et le soumissionnaire avant signature    du contrat.</w:t>
      </w:r>
    </w:p>
    <w:p w:rsidR="0035024C" w:rsidRDefault="0035024C" w:rsidP="0035024C">
      <w:pPr>
        <w:pStyle w:val="BodyText25"/>
        <w:tabs>
          <w:tab w:val="left" w:pos="9000"/>
        </w:tabs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Le prestataire présentera un devis détaillé après pour chaque travail ou intervention      effectué.</w:t>
      </w:r>
    </w:p>
    <w:p w:rsidR="0035024C" w:rsidRDefault="0035024C" w:rsidP="0035024C">
      <w:pPr>
        <w:pStyle w:val="BodyText25"/>
        <w:tabs>
          <w:tab w:val="left" w:pos="9000"/>
        </w:tabs>
        <w:ind w:left="-426" w:right="2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Le paiement s’effectuera en fonction des devis ayant au verso la mention « service fait» </w:t>
      </w:r>
    </w:p>
    <w:p w:rsidR="0035024C" w:rsidRPr="00B56B35" w:rsidRDefault="0035024C" w:rsidP="0035024C">
      <w:pPr>
        <w:pStyle w:val="BodyText25"/>
        <w:tabs>
          <w:tab w:val="left" w:pos="9000"/>
        </w:tabs>
        <w:ind w:left="-426" w:right="2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Par les services de la sous direction des moyens généraux. </w:t>
      </w:r>
    </w:p>
    <w:p w:rsidR="0035024C" w:rsidRDefault="0035024C" w:rsidP="0035024C"/>
    <w:p w:rsidR="0035024C" w:rsidRDefault="0035024C" w:rsidP="0035024C">
      <w:r>
        <w:t xml:space="preserve">     </w:t>
      </w:r>
    </w:p>
    <w:p w:rsidR="0035024C" w:rsidRDefault="0035024C" w:rsidP="0035024C"/>
    <w:p w:rsidR="0035024C" w:rsidRDefault="0035024C" w:rsidP="0035024C"/>
    <w:p w:rsidR="0035024C" w:rsidRDefault="0035024C" w:rsidP="0035024C"/>
    <w:p w:rsidR="0035024C" w:rsidRDefault="0035024C" w:rsidP="0035024C"/>
    <w:p w:rsidR="0035024C" w:rsidRDefault="0035024C" w:rsidP="0035024C"/>
    <w:p w:rsidR="0035024C" w:rsidRDefault="0035024C" w:rsidP="0035024C"/>
    <w:p w:rsidR="0035024C" w:rsidRDefault="0035024C" w:rsidP="0035024C"/>
    <w:p w:rsidR="0035024C" w:rsidRPr="0035024C" w:rsidRDefault="0035024C" w:rsidP="0035024C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color w:val="000099"/>
          <w:sz w:val="28"/>
          <w:szCs w:val="28"/>
        </w:rPr>
      </w:pPr>
      <w:r w:rsidRPr="0035024C">
        <w:rPr>
          <w:rFonts w:asciiTheme="majorBidi" w:hAnsiTheme="majorBidi" w:cstheme="majorBidi"/>
          <w:b/>
          <w:bCs/>
          <w:color w:val="000099"/>
          <w:sz w:val="40"/>
          <w:szCs w:val="40"/>
          <w:u w:val="single"/>
        </w:rPr>
        <w:lastRenderedPageBreak/>
        <w:t>Annexe n° 02</w:t>
      </w:r>
      <w:r w:rsidRPr="0035024C">
        <w:rPr>
          <w:rFonts w:asciiTheme="majorBidi" w:hAnsiTheme="majorBidi" w:cstheme="majorBidi"/>
          <w:b/>
          <w:bCs/>
          <w:color w:val="000099"/>
          <w:sz w:val="28"/>
          <w:szCs w:val="28"/>
        </w:rPr>
        <w:t xml:space="preserve">: </w:t>
      </w:r>
    </w:p>
    <w:p w:rsidR="0035024C" w:rsidRPr="0035024C" w:rsidRDefault="0035024C" w:rsidP="0035024C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color w:val="000099"/>
          <w:sz w:val="40"/>
          <w:szCs w:val="40"/>
        </w:rPr>
      </w:pPr>
      <w:r w:rsidRPr="0035024C">
        <w:rPr>
          <w:rFonts w:asciiTheme="majorBidi" w:hAnsiTheme="majorBidi" w:cstheme="majorBidi"/>
          <w:color w:val="000099"/>
          <w:sz w:val="40"/>
          <w:szCs w:val="40"/>
        </w:rPr>
        <w:t>Le devis quantitatif et estimatif</w:t>
      </w:r>
    </w:p>
    <w:tbl>
      <w:tblPr>
        <w:tblStyle w:val="Grilledutableau"/>
        <w:tblpPr w:leftFromText="141" w:rightFromText="141" w:vertAnchor="text" w:horzAnchor="page" w:tblpX="937" w:tblpY="429"/>
        <w:tblW w:w="10881" w:type="dxa"/>
        <w:tblLook w:val="04A0"/>
      </w:tblPr>
      <w:tblGrid>
        <w:gridCol w:w="3510"/>
        <w:gridCol w:w="2221"/>
        <w:gridCol w:w="1333"/>
        <w:gridCol w:w="1361"/>
        <w:gridCol w:w="2456"/>
      </w:tblGrid>
      <w:tr w:rsidR="0035024C" w:rsidRPr="00C80C4F" w:rsidTr="0035024C">
        <w:tc>
          <w:tcPr>
            <w:tcW w:w="3510" w:type="dxa"/>
          </w:tcPr>
          <w:p w:rsidR="0035024C" w:rsidRPr="00C80C4F" w:rsidRDefault="0035024C" w:rsidP="0035024C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>Désignations</w:t>
            </w:r>
          </w:p>
        </w:tc>
        <w:tc>
          <w:tcPr>
            <w:tcW w:w="2221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Unité </w:t>
            </w:r>
          </w:p>
        </w:tc>
        <w:tc>
          <w:tcPr>
            <w:tcW w:w="1333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>Quantité</w:t>
            </w:r>
          </w:p>
        </w:tc>
        <w:tc>
          <w:tcPr>
            <w:tcW w:w="1361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Prix </w:t>
            </w:r>
          </w:p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Unitaire </w:t>
            </w:r>
          </w:p>
        </w:tc>
        <w:tc>
          <w:tcPr>
            <w:tcW w:w="2456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Montant globale                            </w:t>
            </w:r>
          </w:p>
        </w:tc>
      </w:tr>
      <w:tr w:rsidR="0035024C" w:rsidRPr="00C80C4F" w:rsidTr="0035024C">
        <w:trPr>
          <w:trHeight w:val="2110"/>
        </w:trPr>
        <w:tc>
          <w:tcPr>
            <w:tcW w:w="3510" w:type="dxa"/>
          </w:tcPr>
          <w:p w:rsidR="0035024C" w:rsidRPr="00C80C4F" w:rsidRDefault="0035024C" w:rsidP="0035024C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Un (01) technicien spécialise en téléphonie </w:t>
            </w:r>
          </w:p>
        </w:tc>
        <w:tc>
          <w:tcPr>
            <w:tcW w:w="2221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>Jour/homme</w:t>
            </w:r>
          </w:p>
        </w:tc>
        <w:tc>
          <w:tcPr>
            <w:tcW w:w="1333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>252 jours</w:t>
            </w:r>
          </w:p>
        </w:tc>
        <w:tc>
          <w:tcPr>
            <w:tcW w:w="1361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56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RPr="00C80C4F" w:rsidTr="0035024C">
        <w:trPr>
          <w:trHeight w:val="568"/>
        </w:trPr>
        <w:tc>
          <w:tcPr>
            <w:tcW w:w="8425" w:type="dxa"/>
            <w:gridSpan w:val="4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Montant global DA/HT                           </w:t>
            </w:r>
          </w:p>
        </w:tc>
        <w:tc>
          <w:tcPr>
            <w:tcW w:w="2456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RPr="00C80C4F" w:rsidTr="0035024C">
        <w:trPr>
          <w:trHeight w:val="548"/>
        </w:trPr>
        <w:tc>
          <w:tcPr>
            <w:tcW w:w="8425" w:type="dxa"/>
            <w:gridSpan w:val="4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>TVA</w:t>
            </w:r>
          </w:p>
        </w:tc>
        <w:tc>
          <w:tcPr>
            <w:tcW w:w="2456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024C" w:rsidRPr="00C80C4F" w:rsidTr="0035024C">
        <w:trPr>
          <w:trHeight w:val="428"/>
        </w:trPr>
        <w:tc>
          <w:tcPr>
            <w:tcW w:w="8425" w:type="dxa"/>
            <w:gridSpan w:val="4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80C4F">
              <w:rPr>
                <w:rFonts w:asciiTheme="majorBidi" w:hAnsiTheme="majorBidi" w:cstheme="majorBidi"/>
                <w:sz w:val="28"/>
                <w:szCs w:val="28"/>
              </w:rPr>
              <w:t xml:space="preserve">Montant global DA/TTC                    </w:t>
            </w:r>
          </w:p>
        </w:tc>
        <w:tc>
          <w:tcPr>
            <w:tcW w:w="2456" w:type="dxa"/>
          </w:tcPr>
          <w:p w:rsidR="0035024C" w:rsidRPr="00C80C4F" w:rsidRDefault="0035024C" w:rsidP="0035024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5024C" w:rsidRPr="00666396" w:rsidRDefault="0035024C" w:rsidP="0035024C">
      <w:pPr>
        <w:tabs>
          <w:tab w:val="left" w:pos="3870"/>
        </w:tabs>
        <w:spacing w:after="0"/>
        <w:jc w:val="center"/>
        <w:rPr>
          <w:rFonts w:asciiTheme="majorBidi" w:hAnsiTheme="majorBidi" w:cstheme="majorBidi"/>
          <w:sz w:val="40"/>
          <w:szCs w:val="40"/>
        </w:rPr>
      </w:pPr>
    </w:p>
    <w:p w:rsidR="0035024C" w:rsidRPr="002E15FB" w:rsidRDefault="0035024C" w:rsidP="0035024C">
      <w:pPr>
        <w:tabs>
          <w:tab w:val="left" w:pos="585"/>
          <w:tab w:val="left" w:pos="8325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2E15FB">
        <w:rPr>
          <w:rFonts w:asciiTheme="majorBidi" w:hAnsiTheme="majorBidi" w:cstheme="majorBidi"/>
          <w:b/>
          <w:bCs/>
          <w:sz w:val="28"/>
          <w:szCs w:val="28"/>
        </w:rPr>
        <w:t>Arrê</w:t>
      </w:r>
      <w:r>
        <w:rPr>
          <w:rFonts w:asciiTheme="majorBidi" w:hAnsiTheme="majorBidi" w:cstheme="majorBidi"/>
          <w:b/>
          <w:bCs/>
          <w:sz w:val="28"/>
          <w:szCs w:val="28"/>
        </w:rPr>
        <w:t>té  le présent devis a la somme </w:t>
      </w:r>
      <w:r w:rsidRPr="002E15FB">
        <w:rPr>
          <w:rFonts w:asciiTheme="majorBidi" w:hAnsiTheme="majorBidi" w:cstheme="majorBidi"/>
          <w:b/>
          <w:bCs/>
          <w:sz w:val="28"/>
          <w:szCs w:val="28"/>
        </w:rPr>
        <w:t>de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:…………………………………………………………………………………………………………………………………………………………………………….DA/TTC</w:t>
      </w:r>
    </w:p>
    <w:p w:rsidR="0035024C" w:rsidRPr="002E15FB" w:rsidRDefault="0035024C" w:rsidP="0035024C">
      <w:pPr>
        <w:tabs>
          <w:tab w:val="left" w:pos="10348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35024C" w:rsidRDefault="0035024C" w:rsidP="0035024C">
      <w:pPr>
        <w:tabs>
          <w:tab w:val="left" w:pos="8325"/>
        </w:tabs>
        <w:jc w:val="right"/>
        <w:rPr>
          <w:rFonts w:asciiTheme="majorBidi" w:hAnsiTheme="majorBidi" w:cstheme="majorBidi"/>
          <w:sz w:val="36"/>
          <w:szCs w:val="36"/>
          <w:u w:val="single"/>
        </w:rPr>
      </w:pPr>
      <w:r w:rsidRPr="001E30F1">
        <w:rPr>
          <w:rFonts w:asciiTheme="majorBidi" w:hAnsiTheme="majorBidi" w:cstheme="majorBidi"/>
          <w:sz w:val="28"/>
          <w:szCs w:val="28"/>
          <w:u w:val="single"/>
        </w:rPr>
        <w:t>Dat</w:t>
      </w:r>
      <w:r>
        <w:rPr>
          <w:rFonts w:asciiTheme="majorBidi" w:hAnsiTheme="majorBidi" w:cstheme="majorBidi"/>
          <w:sz w:val="28"/>
          <w:szCs w:val="28"/>
          <w:u w:val="single"/>
        </w:rPr>
        <w:t>e</w:t>
      </w:r>
      <w:r w:rsidRPr="001E30F1">
        <w:rPr>
          <w:rFonts w:asciiTheme="majorBidi" w:hAnsiTheme="majorBidi" w:cstheme="majorBidi"/>
          <w:sz w:val="28"/>
          <w:szCs w:val="28"/>
          <w:u w:val="single"/>
        </w:rPr>
        <w:t>, signature  et cacheté</w:t>
      </w:r>
    </w:p>
    <w:p w:rsidR="000C31D3" w:rsidRDefault="000C31D3"/>
    <w:sectPr w:rsidR="000C31D3" w:rsidSect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4CBD"/>
    <w:multiLevelType w:val="hybridMultilevel"/>
    <w:tmpl w:val="45E25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24C"/>
    <w:rsid w:val="000C31D3"/>
    <w:rsid w:val="000F4A9F"/>
    <w:rsid w:val="00157F5C"/>
    <w:rsid w:val="00256D93"/>
    <w:rsid w:val="002F6D57"/>
    <w:rsid w:val="0035024C"/>
    <w:rsid w:val="0040133E"/>
    <w:rsid w:val="004C0DB9"/>
    <w:rsid w:val="00625AB2"/>
    <w:rsid w:val="00662FAB"/>
    <w:rsid w:val="006C6912"/>
    <w:rsid w:val="00714FC0"/>
    <w:rsid w:val="00801D2C"/>
    <w:rsid w:val="008C0DB8"/>
    <w:rsid w:val="008E78A9"/>
    <w:rsid w:val="009C4AD8"/>
    <w:rsid w:val="00A32E97"/>
    <w:rsid w:val="00C240AE"/>
    <w:rsid w:val="00C80C4F"/>
    <w:rsid w:val="00DE54AA"/>
    <w:rsid w:val="00E2325C"/>
    <w:rsid w:val="00E76D60"/>
    <w:rsid w:val="00ED59A0"/>
    <w:rsid w:val="00EE5FF7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4C"/>
    <w:pPr>
      <w:spacing w:after="20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02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5024C"/>
    <w:rPr>
      <w:b/>
      <w:bCs/>
    </w:rPr>
  </w:style>
  <w:style w:type="table" w:styleId="Grilledutableau">
    <w:name w:val="Table Grid"/>
    <w:basedOn w:val="TableauNormal"/>
    <w:uiPriority w:val="59"/>
    <w:rsid w:val="003502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5">
    <w:name w:val="Body Text 25"/>
    <w:basedOn w:val="Normal"/>
    <w:rsid w:val="0035024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535</Words>
  <Characters>2945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4</cp:revision>
  <dcterms:created xsi:type="dcterms:W3CDTF">2020-01-22T08:39:00Z</dcterms:created>
  <dcterms:modified xsi:type="dcterms:W3CDTF">2020-01-22T08:50:00Z</dcterms:modified>
</cp:coreProperties>
</file>